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23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19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七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05"/>
        <w:gridCol w:w="1260"/>
        <w:gridCol w:w="6495"/>
        <w:gridCol w:w="1500"/>
        <w:gridCol w:w="2895"/>
        <w:gridCol w:w="945"/>
      </w:tblGrid>
      <w:tr>
        <w:trPr>
          <w:trHeight w:val="1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各职能部门重要数据指标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汇总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五一劳动节放假安排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5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教学类制度发文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2020年年度检查材料上报工作完成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2021年第一季度高基季报填报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教务部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完成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保密知识竞赛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联系区卫健委协调我校疫苗接种点设置工作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后勤保障部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统计我校师生疫苗接种意向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对校内施工车辆进行整治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基建办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筹划“反电诈、拒毒品、防传销”相声小品大赛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p>
      <w:pPr>
        <w:snapToGrid w:val="false"/>
        <w:spacing w:before="0" w:after="0" w:line="240" w:lineRule="auto"/>
        <w:ind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32"/>
          <w:szCs w:val="32"/>
        </w:rPr>
        <w:t xml:space="preserve">
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